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19" w:rsidRDefault="00384924" w:rsidP="00384924">
      <w:pPr>
        <w:jc w:val="center"/>
        <w:rPr>
          <w:rFonts w:cstheme="minorHAnsi"/>
          <w:b/>
          <w:sz w:val="32"/>
        </w:rPr>
      </w:pPr>
      <w:r w:rsidRPr="00384924">
        <w:rPr>
          <w:rFonts w:cstheme="minorHAnsi"/>
          <w:b/>
          <w:sz w:val="32"/>
        </w:rPr>
        <w:t>北京师范大学固定资产管理流程图</w:t>
      </w:r>
    </w:p>
    <w:p w:rsidR="00F27598" w:rsidRPr="00384924" w:rsidRDefault="00F27598" w:rsidP="00384924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noProof/>
          <w:sz w:val="32"/>
        </w:rPr>
        <w:drawing>
          <wp:inline distT="0" distB="0" distL="0" distR="0">
            <wp:extent cx="5274310" cy="7927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固定资产管理目录.em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1捐赠取得及调拨管理.em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03E69"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2固定资产验收登记管理.em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753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1公用房分配与调剂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2公用房缴费管理.e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3出租出借用房管理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7533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4房屋维修管理-1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7533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4房屋维修管理-2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159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5周转房入住管理.e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159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6产权登记与使用管理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7仪器设备维修维护管理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8仪器设备赔偿管理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09固定资产调剂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10人防工程空间使用管理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273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3.11公共资源出租出借管理.em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9159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4固定资产对外投资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8111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5固定资产盘点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</w:rPr>
        <w:lastRenderedPageBreak/>
        <w:drawing>
          <wp:inline distT="0" distB="0" distL="0" distR="0">
            <wp:extent cx="5274310" cy="77920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2.06固定资产处置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598" w:rsidRPr="00384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E7"/>
    <w:rsid w:val="00203E69"/>
    <w:rsid w:val="00384924"/>
    <w:rsid w:val="008731E7"/>
    <w:rsid w:val="00B959CB"/>
    <w:rsid w:val="00DE1719"/>
    <w:rsid w:val="00F2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5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5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5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5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Baymax</dc:creator>
  <cp:keywords/>
  <dc:description/>
  <cp:lastModifiedBy>Baymax</cp:lastModifiedBy>
  <cp:revision>4</cp:revision>
  <dcterms:created xsi:type="dcterms:W3CDTF">2017-02-23T09:41:00Z</dcterms:created>
  <dcterms:modified xsi:type="dcterms:W3CDTF">2017-02-23T10:03:00Z</dcterms:modified>
</cp:coreProperties>
</file>